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eastAsia="方正小标宋简体"/>
          <w:sz w:val="44"/>
          <w:szCs w:val="44"/>
          <w:lang w:val="en-US" w:eastAsia="zh-CN"/>
        </w:rPr>
      </w:pPr>
      <w:r>
        <w:rPr>
          <w:rFonts w:hint="eastAsia" w:eastAsia="方正小标宋简体"/>
          <w:sz w:val="44"/>
          <w:szCs w:val="44"/>
        </w:rPr>
        <w:t>乐至县</w:t>
      </w:r>
      <w:r>
        <w:rPr>
          <w:rFonts w:hint="eastAsia" w:eastAsia="方正小标宋简体"/>
          <w:sz w:val="44"/>
          <w:szCs w:val="44"/>
          <w:lang w:eastAsia="zh-CN"/>
        </w:rPr>
        <w:t>精神卫生保健院</w:t>
      </w:r>
    </w:p>
    <w:p>
      <w:pPr>
        <w:spacing w:line="580" w:lineRule="exact"/>
        <w:jc w:val="center"/>
        <w:rPr>
          <w:rFonts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rPr>
        <w:t>4年单位预算编制说明</w:t>
      </w:r>
    </w:p>
    <w:p>
      <w:pPr>
        <w:spacing w:line="640" w:lineRule="exact"/>
        <w:jc w:val="center"/>
        <w:rPr>
          <w:rFonts w:ascii="方正小标宋简体" w:eastAsia="方正小标宋简体"/>
          <w:sz w:val="44"/>
          <w:szCs w:val="44"/>
        </w:rPr>
      </w:pPr>
    </w:p>
    <w:p>
      <w:pPr>
        <w:spacing w:line="580" w:lineRule="exact"/>
        <w:ind w:firstLine="640" w:firstLineChars="200"/>
        <w:rPr>
          <w:rFonts w:hint="eastAsia" w:eastAsia="方正黑体简体"/>
          <w:szCs w:val="32"/>
        </w:rPr>
      </w:pPr>
      <w:r>
        <w:rPr>
          <w:rFonts w:hint="eastAsia" w:eastAsia="方正黑体简体"/>
          <w:szCs w:val="32"/>
        </w:rPr>
        <w:t>一、单位概况</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（一）机构设置及人员情况</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乐至县精神卫生保健院是财政全额拨款的事业单位。单位总编制人数90人，其中：行政编制0人、行政工勤编制0人，事业专业技术岗编制80人，事业管理岗编制10人；实有在职行政人员0人、行政工勤编制0人，事业专业技术岗编制75人，事业管理岗人员4人；离退休人员0人。</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（二）职能简介</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w:t>
      </w:r>
      <w:r>
        <w:rPr>
          <w:rFonts w:hint="eastAsia"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负责全县精神卫生保健、治疗、心理康复及门诊治疗、门诊心理咨询、住院治疗等工作。</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eastAsia"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提供各类精神障碍的诊断、治疗、联络会诊等诊疗服务。及时向上级精神卫生医疗机构转诊疑难重症和病情不稳定患者，对符合出院条件的患者及时办理出院并将患者信息转回社区。</w:t>
      </w:r>
    </w:p>
    <w:p>
      <w:pPr>
        <w:pStyle w:val="2"/>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eastAsia"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将本机构门诊和出院确诊的六种严重精神障碍患者和符合《中华人民共和国精神卫生法》第三十条第二款第二项情形患者的相关信息录入信息系统。</w:t>
      </w:r>
    </w:p>
    <w:p>
      <w:pPr>
        <w:pStyle w:val="2"/>
        <w:ind w:firstLine="640" w:firstLineChars="200"/>
        <w:rPr>
          <w:rFonts w:hint="eastAsia" w:ascii="Times New Roman" w:hAnsi="Times New Roman" w:eastAsia="仿宋_GB2312" w:cs="Times New Roman"/>
          <w:kern w:val="2"/>
          <w:sz w:val="32"/>
          <w:szCs w:val="32"/>
          <w:lang w:val="en-US" w:eastAsia="zh-CN" w:bidi="ar-SA"/>
        </w:rPr>
      </w:pPr>
      <w:r>
        <w:rPr>
          <w:rFonts w:hint="eastAsia" w:cs="Times New Roman"/>
          <w:kern w:val="2"/>
          <w:sz w:val="32"/>
          <w:szCs w:val="32"/>
          <w:lang w:val="en-US" w:eastAsia="zh-CN" w:bidi="ar-SA"/>
        </w:rPr>
        <w:t>4、</w:t>
      </w:r>
      <w:r>
        <w:rPr>
          <w:rFonts w:hint="eastAsia" w:ascii="Times New Roman" w:hAnsi="Times New Roman" w:eastAsia="仿宋_GB2312" w:cs="Times New Roman"/>
          <w:kern w:val="2"/>
          <w:sz w:val="32"/>
          <w:szCs w:val="32"/>
          <w:lang w:val="en-US" w:eastAsia="zh-CN" w:bidi="ar-SA"/>
        </w:rPr>
        <w:t>对基层医疗卫生机构开展对口帮扶，提供随访技术指导。指导基层开展患者应急处置，承担应急医疗处置任务。</w:t>
      </w:r>
    </w:p>
    <w:p>
      <w:pPr>
        <w:pStyle w:val="2"/>
        <w:ind w:firstLine="640" w:firstLineChars="200"/>
        <w:rPr>
          <w:rFonts w:hint="default" w:ascii="Times New Roman" w:hAnsi="Times New Roman" w:eastAsia="仿宋_GB2312" w:cs="Times New Roman"/>
          <w:kern w:val="2"/>
          <w:sz w:val="32"/>
          <w:szCs w:val="32"/>
          <w:lang w:val="en-US" w:eastAsia="zh-CN" w:bidi="ar-SA"/>
        </w:rPr>
      </w:pPr>
      <w:r>
        <w:rPr>
          <w:rFonts w:hint="eastAsia" w:cs="Times New Roman"/>
          <w:kern w:val="2"/>
          <w:sz w:val="32"/>
          <w:szCs w:val="32"/>
          <w:lang w:val="en-US" w:eastAsia="zh-CN" w:bidi="ar-SA"/>
        </w:rPr>
        <w:t>5、</w:t>
      </w:r>
      <w:r>
        <w:rPr>
          <w:rFonts w:hint="eastAsia" w:ascii="Times New Roman" w:hAnsi="Times New Roman" w:eastAsia="仿宋_GB2312" w:cs="Times New Roman"/>
          <w:kern w:val="2"/>
          <w:sz w:val="32"/>
          <w:szCs w:val="32"/>
          <w:lang w:val="en-US" w:eastAsia="zh-CN" w:bidi="ar-SA"/>
        </w:rPr>
        <w:t>开展院内康复并对社区康复提供技术指导</w:t>
      </w:r>
      <w:r>
        <w:rPr>
          <w:rFonts w:hint="eastAsia"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在精神卫生健康教育中提供专业技术支持。 </w:t>
      </w:r>
    </w:p>
    <w:p>
      <w:pPr>
        <w:spacing w:line="580" w:lineRule="exact"/>
        <w:ind w:firstLine="640" w:firstLineChars="200"/>
        <w:rPr>
          <w:rFonts w:eastAsia="方正黑体简体"/>
          <w:szCs w:val="32"/>
        </w:rPr>
      </w:pPr>
      <w:r>
        <w:rPr>
          <w:rFonts w:hint="eastAsia" w:eastAsia="方正黑体简体"/>
          <w:szCs w:val="32"/>
        </w:rPr>
        <w:t>二、2024年重点工作</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（一）承担全县精神卫生保健、治疗、心理康复及门诊治疗、门诊心理咨询、住院治疗等工作。</w:t>
      </w:r>
    </w:p>
    <w:p>
      <w:pPr>
        <w:spacing w:line="580" w:lineRule="exact"/>
        <w:ind w:firstLine="640" w:firstLineChars="200"/>
        <w:rPr>
          <w:rFonts w:hint="eastAsia"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（二）提升医疗服务能力，以精神专科为立足点促进医院重点专科建设；建立健全心理门诊建设，开设心理咨询室、心理治疗室</w:t>
      </w:r>
      <w:r>
        <w:rPr>
          <w:rFonts w:hint="eastAsia" w:cs="Times New Roman"/>
          <w:kern w:val="2"/>
          <w:sz w:val="32"/>
          <w:szCs w:val="32"/>
          <w:lang w:val="en-US" w:eastAsia="zh-CN" w:bidi="ar-SA"/>
        </w:rPr>
        <w:t>。</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强化严重精神障碍管理的指导和督查。建立较为完善的综合预防和控制严重精神障碍患者危险行为的有效机制，提高严重精神障碍患者治疗率和降低其危险行为发生率，逐步实现“应管尽管，应收尽收，应治尽治”的目标。</w:t>
      </w:r>
    </w:p>
    <w:p>
      <w:pPr>
        <w:spacing w:line="58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（四）做好安全生产，建设平安医院。安全生产是医院的核心，医院要以“隐患当事故”的理念指导安全生产工作，以高标准、严要求的工作态度开展安全生产工作，定期开展排查，消除隐患。</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eastAsia="方正黑体简体"/>
          <w:szCs w:val="32"/>
          <w:lang w:val="en-US" w:eastAsia="zh-CN"/>
        </w:rPr>
        <w:t>三、收支预算情况说明</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（一）收入预算情况</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乐至县精神卫生保健院2024年收入预算1025.53万元，较2023年单位预算收入总数1010.83万元，增加14.7万元，增长1.45%。（主要原因：一是2024年度在编在岗人员较2023年度增加</w:t>
      </w:r>
      <w:r>
        <w:rPr>
          <w:rFonts w:hint="eastAsia"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人，二是公务用车增加</w:t>
      </w:r>
      <w:r>
        <w:rPr>
          <w:rFonts w:hint="eastAsia"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辆。）其中：一般公共预算拨款收入1025.53万元。</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（二）支出预算情况</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乐至县精神卫生保健院2024年支出预算1025.53万元，较2023年单位预算支出总数1010.83万元，增长1.45%。（主要原因：一是2024年度在编在岗人员较2023年度增加</w:t>
      </w:r>
      <w:r>
        <w:rPr>
          <w:rFonts w:hint="eastAsia"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人，二是公务用车增加</w:t>
      </w:r>
      <w:r>
        <w:rPr>
          <w:rFonts w:hint="eastAsia"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辆。）其中：基本支出1013.03万元，占98.78%；项目支出12.5万元，占1.22%。</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（三）专项资金说明</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2024年单位预算专项支出12.5万元（含上级转移支付资金0万元）。其中：</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1、药品零差率补助项目12万元，主要用于医院药品零差率销售的补助。</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2、基本公共卫生专项0.5万元，主要用于严重精神障碍患者管理的专科医生随访工作。</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（四）“三公”经费财政拨款预算安排情况说明</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乐至县精神卫生保健院2024年“三公”经费财政拨款预算数9万元，其中：因公出国（境）经费0万元，公务接待费0万元，公务用车购置及运行维护费9万元。</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1.因公出国（境）经费较2023年预算持平。</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cs="Times New Roman"/>
          <w:kern w:val="2"/>
          <w:sz w:val="32"/>
          <w:szCs w:val="32"/>
          <w:lang w:val="en-US" w:eastAsia="zh-CN" w:bidi="ar-SA"/>
        </w:rPr>
        <w:t>2024</w:t>
      </w:r>
      <w:r>
        <w:rPr>
          <w:rFonts w:hint="eastAsia" w:ascii="Times New Roman" w:hAnsi="Times New Roman" w:eastAsia="仿宋_GB2312" w:cs="Times New Roman"/>
          <w:kern w:val="2"/>
          <w:sz w:val="32"/>
          <w:szCs w:val="32"/>
          <w:lang w:val="en-US" w:eastAsia="zh-CN" w:bidi="ar-SA"/>
        </w:rPr>
        <w:t>度</w:t>
      </w:r>
      <w:r>
        <w:rPr>
          <w:rFonts w:hint="eastAsia" w:cs="Times New Roman"/>
          <w:kern w:val="2"/>
          <w:sz w:val="32"/>
          <w:szCs w:val="32"/>
          <w:lang w:val="en-US" w:eastAsia="zh-CN" w:bidi="ar-SA"/>
        </w:rPr>
        <w:t>无因公</w:t>
      </w:r>
      <w:r>
        <w:rPr>
          <w:rFonts w:hint="eastAsia" w:ascii="Times New Roman" w:hAnsi="Times New Roman" w:eastAsia="仿宋_GB2312" w:cs="Times New Roman"/>
          <w:kern w:val="2"/>
          <w:sz w:val="32"/>
          <w:szCs w:val="32"/>
          <w:lang w:val="en-US" w:eastAsia="zh-CN" w:bidi="ar-SA"/>
        </w:rPr>
        <w:t>出国（境）</w:t>
      </w:r>
      <w:r>
        <w:rPr>
          <w:rFonts w:hint="eastAsia" w:cs="Times New Roman"/>
          <w:kern w:val="2"/>
          <w:sz w:val="32"/>
          <w:szCs w:val="32"/>
          <w:lang w:val="en-US" w:eastAsia="zh-CN" w:bidi="ar-SA"/>
        </w:rPr>
        <w:t>人员安排，相应无</w:t>
      </w:r>
      <w:bookmarkStart w:id="0" w:name="_GoBack"/>
      <w:bookmarkEnd w:id="0"/>
      <w:r>
        <w:rPr>
          <w:rFonts w:hint="eastAsia" w:cs="Times New Roman"/>
          <w:kern w:val="2"/>
          <w:sz w:val="32"/>
          <w:szCs w:val="32"/>
          <w:lang w:val="en-US" w:eastAsia="zh-CN" w:bidi="ar-SA"/>
        </w:rPr>
        <w:t>预算经费安排</w:t>
      </w:r>
      <w:r>
        <w:rPr>
          <w:rFonts w:hint="eastAsia" w:ascii="Times New Roman" w:hAnsi="Times New Roman" w:eastAsia="仿宋_GB2312" w:cs="Times New Roman"/>
          <w:kern w:val="2"/>
          <w:sz w:val="32"/>
          <w:szCs w:val="32"/>
          <w:lang w:val="en-US" w:eastAsia="zh-CN" w:bidi="ar-SA"/>
        </w:rPr>
        <w:t>。</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2.公务接待费较2023年预算持平。</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w:t>
      </w:r>
      <w:r>
        <w:rPr>
          <w:rFonts w:hint="eastAsia" w:cs="Times New Roman"/>
          <w:kern w:val="2"/>
          <w:sz w:val="32"/>
          <w:szCs w:val="32"/>
          <w:lang w:val="en-US" w:eastAsia="zh-CN" w:bidi="ar-SA"/>
        </w:rPr>
        <w:t>4</w:t>
      </w:r>
      <w:r>
        <w:rPr>
          <w:rFonts w:hint="eastAsia" w:ascii="Times New Roman" w:hAnsi="Times New Roman" w:eastAsia="仿宋_GB2312" w:cs="Times New Roman"/>
          <w:kern w:val="2"/>
          <w:sz w:val="32"/>
          <w:szCs w:val="32"/>
          <w:lang w:val="en-US" w:eastAsia="zh-CN" w:bidi="ar-SA"/>
        </w:rPr>
        <w:t>年公务接待费无一般公共预算</w:t>
      </w:r>
      <w:r>
        <w:rPr>
          <w:rFonts w:hint="eastAsia" w:cs="Times New Roman"/>
          <w:kern w:val="2"/>
          <w:sz w:val="32"/>
          <w:szCs w:val="32"/>
          <w:lang w:val="en-US" w:eastAsia="zh-CN" w:bidi="ar-SA"/>
        </w:rPr>
        <w:t>财政</w:t>
      </w:r>
      <w:r>
        <w:rPr>
          <w:rFonts w:hint="eastAsia" w:ascii="Times New Roman" w:hAnsi="Times New Roman" w:eastAsia="仿宋_GB2312" w:cs="Times New Roman"/>
          <w:kern w:val="2"/>
          <w:sz w:val="32"/>
          <w:szCs w:val="32"/>
          <w:lang w:val="en-US" w:eastAsia="zh-CN" w:bidi="ar-SA"/>
        </w:rPr>
        <w:t xml:space="preserve">拨款安排。 </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3.公务用车购置及运行维护费较2023年预算增加200%</w:t>
      </w:r>
      <w:r>
        <w:rPr>
          <w:rFonts w:hint="eastAsia" w:cs="Times New Roman"/>
          <w:kern w:val="2"/>
          <w:sz w:val="32"/>
          <w:szCs w:val="32"/>
          <w:lang w:val="en-US" w:eastAsia="zh-CN" w:bidi="ar-SA"/>
        </w:rPr>
        <w:t>（主要原因为纳入一般公共</w:t>
      </w:r>
      <w:r>
        <w:rPr>
          <w:rFonts w:hint="eastAsia" w:ascii="Times New Roman" w:hAnsi="Times New Roman" w:eastAsia="仿宋_GB2312" w:cs="Times New Roman"/>
          <w:kern w:val="2"/>
          <w:sz w:val="32"/>
          <w:szCs w:val="32"/>
          <w:lang w:val="en-US" w:eastAsia="zh-CN" w:bidi="ar-SA"/>
        </w:rPr>
        <w:t>预算</w:t>
      </w:r>
      <w:r>
        <w:rPr>
          <w:rFonts w:hint="eastAsia" w:cs="Times New Roman"/>
          <w:kern w:val="2"/>
          <w:sz w:val="32"/>
          <w:szCs w:val="32"/>
          <w:lang w:val="en-US" w:eastAsia="zh-CN" w:bidi="ar-SA"/>
        </w:rPr>
        <w:t>财政</w:t>
      </w:r>
      <w:r>
        <w:rPr>
          <w:rFonts w:hint="eastAsia" w:ascii="Times New Roman" w:hAnsi="Times New Roman" w:eastAsia="仿宋_GB2312" w:cs="Times New Roman"/>
          <w:kern w:val="2"/>
          <w:sz w:val="32"/>
          <w:szCs w:val="32"/>
          <w:lang w:val="en-US" w:eastAsia="zh-CN" w:bidi="ar-SA"/>
        </w:rPr>
        <w:t>拨款安排</w:t>
      </w:r>
      <w:r>
        <w:rPr>
          <w:rFonts w:hint="eastAsia" w:cs="Times New Roman"/>
          <w:kern w:val="2"/>
          <w:sz w:val="32"/>
          <w:szCs w:val="32"/>
          <w:lang w:val="en-US" w:eastAsia="zh-CN" w:bidi="ar-SA"/>
        </w:rPr>
        <w:t>的公务用车增加2辆）</w:t>
      </w:r>
      <w:r>
        <w:rPr>
          <w:rFonts w:hint="eastAsia" w:ascii="Times New Roman" w:hAnsi="Times New Roman" w:eastAsia="仿宋_GB2312" w:cs="Times New Roman"/>
          <w:kern w:val="2"/>
          <w:sz w:val="32"/>
          <w:szCs w:val="32"/>
          <w:lang w:val="en-US" w:eastAsia="zh-CN" w:bidi="ar-SA"/>
        </w:rPr>
        <w:t>。</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单位现有公务用车3辆，其中：轿车0辆，越野车0辆，普通救护车2辆，负压救护车1辆。</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公务用车购置费0万元，较2023年预算持平。</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公务用车运行维护费9万元，较2023年预算增加200%</w:t>
      </w:r>
      <w:r>
        <w:rPr>
          <w:rFonts w:hint="eastAsia" w:cs="Times New Roman"/>
          <w:kern w:val="2"/>
          <w:sz w:val="32"/>
          <w:szCs w:val="32"/>
          <w:lang w:val="en-US" w:eastAsia="zh-CN" w:bidi="ar-SA"/>
        </w:rPr>
        <w:t>（主要原因为纳入一般公共</w:t>
      </w:r>
      <w:r>
        <w:rPr>
          <w:rFonts w:hint="eastAsia" w:ascii="Times New Roman" w:hAnsi="Times New Roman" w:eastAsia="仿宋_GB2312" w:cs="Times New Roman"/>
          <w:kern w:val="2"/>
          <w:sz w:val="32"/>
          <w:szCs w:val="32"/>
          <w:lang w:val="en-US" w:eastAsia="zh-CN" w:bidi="ar-SA"/>
        </w:rPr>
        <w:t>预算</w:t>
      </w:r>
      <w:r>
        <w:rPr>
          <w:rFonts w:hint="eastAsia" w:cs="Times New Roman"/>
          <w:kern w:val="2"/>
          <w:sz w:val="32"/>
          <w:szCs w:val="32"/>
          <w:lang w:val="en-US" w:eastAsia="zh-CN" w:bidi="ar-SA"/>
        </w:rPr>
        <w:t>财政</w:t>
      </w:r>
      <w:r>
        <w:rPr>
          <w:rFonts w:hint="eastAsia" w:ascii="Times New Roman" w:hAnsi="Times New Roman" w:eastAsia="仿宋_GB2312" w:cs="Times New Roman"/>
          <w:kern w:val="2"/>
          <w:sz w:val="32"/>
          <w:szCs w:val="32"/>
          <w:lang w:val="en-US" w:eastAsia="zh-CN" w:bidi="ar-SA"/>
        </w:rPr>
        <w:t>拨款安排</w:t>
      </w:r>
      <w:r>
        <w:rPr>
          <w:rFonts w:hint="eastAsia" w:cs="Times New Roman"/>
          <w:kern w:val="2"/>
          <w:sz w:val="32"/>
          <w:szCs w:val="32"/>
          <w:lang w:val="en-US" w:eastAsia="zh-CN" w:bidi="ar-SA"/>
        </w:rPr>
        <w:t>的公务用车增加2辆）</w:t>
      </w:r>
      <w:r>
        <w:rPr>
          <w:rFonts w:hint="eastAsia" w:ascii="Times New Roman" w:hAnsi="Times New Roman" w:eastAsia="仿宋_GB2312" w:cs="Times New Roman"/>
          <w:kern w:val="2"/>
          <w:sz w:val="32"/>
          <w:szCs w:val="32"/>
          <w:lang w:val="en-US" w:eastAsia="zh-CN" w:bidi="ar-SA"/>
        </w:rPr>
        <w:t>。用于</w:t>
      </w:r>
      <w:r>
        <w:rPr>
          <w:rFonts w:hint="eastAsia" w:cs="Times New Roman"/>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辆公务用车燃油、维修、保险等方面支出。</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p>
    <w:sectPr>
      <w:headerReference r:id="rId3" w:type="default"/>
      <w:pgSz w:w="11906" w:h="16838"/>
      <w:pgMar w:top="1701" w:right="1247" w:bottom="1418"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1" w:fontKey="{929243E5-D3B2-4EEE-ADF7-BF4D9FC3D2CB}"/>
  </w:font>
  <w:font w:name="方正小标宋简体">
    <w:altName w:val="Arial Unicode MS"/>
    <w:panose1 w:val="02010601030101010101"/>
    <w:charset w:val="86"/>
    <w:family w:val="auto"/>
    <w:pitch w:val="default"/>
    <w:sig w:usb0="00000000" w:usb1="00000000" w:usb2="00000000" w:usb3="00000000" w:csb0="00040000" w:csb1="00000000"/>
    <w:embedRegular r:id="rId2" w:fontKey="{83DB3174-A46C-49AF-8E0F-39D258723AAA}"/>
  </w:font>
  <w:font w:name="方正黑体简体">
    <w:altName w:val="Arial Unicode MS"/>
    <w:panose1 w:val="02010601030101010101"/>
    <w:charset w:val="86"/>
    <w:family w:val="auto"/>
    <w:pitch w:val="default"/>
    <w:sig w:usb0="00000000" w:usb1="00000000" w:usb2="00000000" w:usb3="00000000" w:csb0="00040000" w:csb1="00000000"/>
    <w:embedRegular r:id="rId3" w:fontKey="{196E1AFB-7393-49FD-84BD-7540A0897728}"/>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hNDFlZjFkOGJhOTc3NGE2NWYwZDNhZDAwMTQ0M2IifQ=="/>
  </w:docVars>
  <w:rsids>
    <w:rsidRoot w:val="5D9925AC"/>
    <w:rsid w:val="0041427A"/>
    <w:rsid w:val="009E7103"/>
    <w:rsid w:val="00BB67B9"/>
    <w:rsid w:val="00C3204B"/>
    <w:rsid w:val="02411488"/>
    <w:rsid w:val="0FD91EE3"/>
    <w:rsid w:val="12C56763"/>
    <w:rsid w:val="452D198B"/>
    <w:rsid w:val="476E5119"/>
    <w:rsid w:val="59644A28"/>
    <w:rsid w:val="5D992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102"/>
      <w:ind w:left="112"/>
    </w:pPr>
    <w:rPr>
      <w:kern w:val="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173</Words>
  <Characters>991</Characters>
  <Lines>8</Lines>
  <Paragraphs>2</Paragraphs>
  <TotalTime>7</TotalTime>
  <ScaleCrop>false</ScaleCrop>
  <LinksUpToDate>false</LinksUpToDate>
  <CharactersWithSpaces>1162</CharactersWithSpaces>
  <Application>WPS Office_12.8.2.15005_F1E327BC-269C-435d-A152-05C5408002CA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2022-12-07T01:28:00Z</dcterms:created>
  <dc:creator>Brave</dc:creator>
  <cp:lastModifiedBy>财务科</cp:lastModifiedBy>
  <cp:lastPrinted>2023-12-22T02:58:00Z</cp:lastPrinted>
  <dcterms:modified xsi:type="dcterms:W3CDTF">2024-05-24T06:55:47Z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2052-12.8.2.15005</vt:lpwstr>
  </property>
  <property fmtid="{D5CDD505-2E9C-101B-9397-08002B2CF9AE}" pid="3" name="ICV">
    <vt:lpwstr>8D2AF2F51FF0466FBDA52D7046864B8A</vt:lpwstr>
  </property>
</Properties>
</file>